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96A0" w14:textId="1BDF7E6A" w:rsidR="0066047C" w:rsidRPr="001E47D1" w:rsidRDefault="0078008D" w:rsidP="0078008D">
      <w:pPr>
        <w:jc w:val="center"/>
        <w:rPr>
          <w:u w:val="single"/>
        </w:rPr>
      </w:pPr>
      <w:r w:rsidRPr="001E47D1">
        <w:rPr>
          <w:u w:val="single"/>
        </w:rPr>
        <w:t>YMCA Derbyshire Annual Complaints Report</w:t>
      </w:r>
    </w:p>
    <w:p w14:paraId="195A8B64" w14:textId="6EA2427B" w:rsidR="0078008D" w:rsidRDefault="0078008D" w:rsidP="0078008D">
      <w:r>
        <w:t>At YMCA Derbyshire, we strive to be as open and transparent as possible about the complaints we receive about our services. We also</w:t>
      </w:r>
      <w:r w:rsidR="00B562AF">
        <w:t xml:space="preserve"> </w:t>
      </w:r>
      <w:r w:rsidR="004165BD">
        <w:t>aspire to be</w:t>
      </w:r>
      <w:r>
        <w:t xml:space="preserve"> a learning organisation and take every complaint as an opportunity to grow and evolve our business to meet the needs of our clients, community members and partner agencies. </w:t>
      </w:r>
    </w:p>
    <w:p w14:paraId="7D6C4BA9" w14:textId="77777777" w:rsidR="00840635" w:rsidRDefault="0078008D" w:rsidP="0078008D">
      <w:r>
        <w:t xml:space="preserve">In this report, we will </w:t>
      </w:r>
      <w:r w:rsidR="002A6CFE">
        <w:t>explore</w:t>
      </w:r>
      <w:r>
        <w:t xml:space="preserve"> the volume of complaints received, any trends that occurred, how we learnt from these and how we rectified any mistakes identified. </w:t>
      </w:r>
    </w:p>
    <w:p w14:paraId="6EA6065A" w14:textId="77777777" w:rsidR="00370761" w:rsidRDefault="00370761" w:rsidP="0078008D"/>
    <w:p w14:paraId="56D1EAAE" w14:textId="37F55605" w:rsidR="00372EED" w:rsidRPr="00372EED" w:rsidRDefault="00FC3527" w:rsidP="0078008D">
      <w:pPr>
        <w:rPr>
          <w:b/>
          <w:bCs/>
          <w:u w:val="single"/>
        </w:rPr>
      </w:pPr>
      <w:r>
        <w:rPr>
          <w:b/>
          <w:bCs/>
          <w:u w:val="single"/>
        </w:rPr>
        <w:t>Our Complaint</w:t>
      </w:r>
      <w:r w:rsidR="00B03415">
        <w:rPr>
          <w:b/>
          <w:bCs/>
          <w:u w:val="single"/>
        </w:rPr>
        <w:t>s</w:t>
      </w:r>
      <w:r>
        <w:rPr>
          <w:b/>
          <w:bCs/>
          <w:u w:val="single"/>
        </w:rPr>
        <w:t xml:space="preserve"> Breakdown</w:t>
      </w:r>
      <w:r w:rsidR="00372EED" w:rsidRPr="00372EED">
        <w:rPr>
          <w:b/>
          <w:bCs/>
          <w:u w:val="single"/>
        </w:rPr>
        <w:t xml:space="preserve"> </w:t>
      </w:r>
    </w:p>
    <w:p w14:paraId="4D55F56C" w14:textId="4F2C2CA0" w:rsidR="0078008D" w:rsidRDefault="001E47D1" w:rsidP="0078008D">
      <w:r>
        <w:t>The report dates between J</w:t>
      </w:r>
      <w:r w:rsidR="00C00187">
        <w:t>une</w:t>
      </w:r>
      <w:r>
        <w:t xml:space="preserve"> 202</w:t>
      </w:r>
      <w:r w:rsidR="000258BA">
        <w:t>4</w:t>
      </w:r>
      <w:r w:rsidR="00840635">
        <w:t>-</w:t>
      </w:r>
      <w:r w:rsidR="00C00187">
        <w:t>May</w:t>
      </w:r>
      <w:r w:rsidR="00840635">
        <w:t xml:space="preserve"> 202</w:t>
      </w:r>
      <w:r w:rsidR="000258BA">
        <w:t>5</w:t>
      </w:r>
      <w:r w:rsidR="00840635">
        <w:t xml:space="preserve">. </w:t>
      </w:r>
      <w:r w:rsidR="00D253CC">
        <w:t>The t</w:t>
      </w:r>
      <w:r w:rsidR="00840635">
        <w:t xml:space="preserve">able below </w:t>
      </w:r>
      <w:r w:rsidR="00D253CC">
        <w:t>represents the number of complaints for</w:t>
      </w:r>
      <w:r w:rsidR="004D1EFC">
        <w:t xml:space="preserve"> different</w:t>
      </w:r>
      <w:r w:rsidR="00D253CC">
        <w:t xml:space="preserve"> areas of our organisation. </w:t>
      </w:r>
    </w:p>
    <w:tbl>
      <w:tblPr>
        <w:tblStyle w:val="TableGrid"/>
        <w:tblW w:w="0" w:type="auto"/>
        <w:tblLook w:val="04A0" w:firstRow="1" w:lastRow="0" w:firstColumn="1" w:lastColumn="0" w:noHBand="0" w:noVBand="1"/>
      </w:tblPr>
      <w:tblGrid>
        <w:gridCol w:w="4507"/>
        <w:gridCol w:w="4509"/>
      </w:tblGrid>
      <w:tr w:rsidR="008D5E8B" w14:paraId="5F56D776" w14:textId="77777777" w:rsidTr="008D5E8B">
        <w:trPr>
          <w:trHeight w:val="419"/>
        </w:trPr>
        <w:tc>
          <w:tcPr>
            <w:tcW w:w="9242" w:type="dxa"/>
            <w:gridSpan w:val="2"/>
          </w:tcPr>
          <w:p w14:paraId="003A8040" w14:textId="7D200BB5" w:rsidR="008D5E8B" w:rsidRDefault="008D5E8B" w:rsidP="008D5E8B">
            <w:pPr>
              <w:jc w:val="center"/>
            </w:pPr>
            <w:r>
              <w:t>DEPARTMENT</w:t>
            </w:r>
          </w:p>
        </w:tc>
      </w:tr>
      <w:tr w:rsidR="008D5E8B" w14:paraId="2F56D4E6" w14:textId="77777777" w:rsidTr="008D5E8B">
        <w:tc>
          <w:tcPr>
            <w:tcW w:w="4621" w:type="dxa"/>
          </w:tcPr>
          <w:p w14:paraId="46789E46" w14:textId="522E3468" w:rsidR="008D5E8B" w:rsidRDefault="008D5E8B" w:rsidP="008D5E8B">
            <w:pPr>
              <w:jc w:val="center"/>
            </w:pPr>
            <w:r>
              <w:t>HOUSING</w:t>
            </w:r>
          </w:p>
        </w:tc>
        <w:tc>
          <w:tcPr>
            <w:tcW w:w="4621" w:type="dxa"/>
          </w:tcPr>
          <w:p w14:paraId="1C5CCDFB" w14:textId="36BD8C10" w:rsidR="008D5E8B" w:rsidRDefault="008D5E8B" w:rsidP="008D5E8B">
            <w:pPr>
              <w:jc w:val="center"/>
            </w:pPr>
            <w:proofErr w:type="gramStart"/>
            <w:r>
              <w:t>LIFE LONG</w:t>
            </w:r>
            <w:proofErr w:type="gramEnd"/>
            <w:r>
              <w:t xml:space="preserve"> LEARNING</w:t>
            </w:r>
          </w:p>
        </w:tc>
      </w:tr>
      <w:tr w:rsidR="008D5E8B" w14:paraId="216D3251" w14:textId="77777777" w:rsidTr="008D5E8B">
        <w:tc>
          <w:tcPr>
            <w:tcW w:w="4621" w:type="dxa"/>
          </w:tcPr>
          <w:p w14:paraId="313256AB" w14:textId="2C26E985" w:rsidR="008D5E8B" w:rsidRDefault="00595760" w:rsidP="007A0C97">
            <w:pPr>
              <w:jc w:val="center"/>
            </w:pPr>
            <w:r>
              <w:t>3</w:t>
            </w:r>
            <w:r w:rsidR="001942EC">
              <w:t>2</w:t>
            </w:r>
          </w:p>
        </w:tc>
        <w:tc>
          <w:tcPr>
            <w:tcW w:w="4621" w:type="dxa"/>
          </w:tcPr>
          <w:p w14:paraId="7333B329" w14:textId="45AB0895" w:rsidR="008D5E8B" w:rsidRDefault="00545792" w:rsidP="007A0C97">
            <w:pPr>
              <w:jc w:val="center"/>
            </w:pPr>
            <w:r>
              <w:t>2</w:t>
            </w:r>
          </w:p>
        </w:tc>
      </w:tr>
    </w:tbl>
    <w:p w14:paraId="443BD12C" w14:textId="1C447A81" w:rsidR="00840635" w:rsidRDefault="00840635" w:rsidP="0078008D"/>
    <w:p w14:paraId="2AC63E58" w14:textId="44CCF14F" w:rsidR="00094F07" w:rsidRDefault="00094F07" w:rsidP="0078008D">
      <w:r>
        <w:t>Below is a graph showing a breakdown of the general subjects of the complaints.</w:t>
      </w:r>
      <w:r w:rsidR="000C28F2">
        <w:t xml:space="preserve"> From left to right the categories are:</w:t>
      </w:r>
    </w:p>
    <w:p w14:paraId="63462CEF" w14:textId="5E9F0F04" w:rsidR="000258BA" w:rsidRDefault="00EA3FA7" w:rsidP="00445E4D">
      <w:pPr>
        <w:pStyle w:val="ListParagraph"/>
        <w:numPr>
          <w:ilvl w:val="0"/>
          <w:numId w:val="6"/>
        </w:numPr>
        <w:spacing w:after="0"/>
        <w:rPr>
          <w:i/>
          <w:iCs/>
        </w:rPr>
      </w:pPr>
      <w:r>
        <w:rPr>
          <w:i/>
          <w:iCs/>
        </w:rPr>
        <w:t>Staff</w:t>
      </w:r>
    </w:p>
    <w:p w14:paraId="58223B7F" w14:textId="44A13737" w:rsidR="00EA3FA7" w:rsidRPr="00445E4D" w:rsidRDefault="00EA3FA7" w:rsidP="00445E4D">
      <w:pPr>
        <w:pStyle w:val="ListParagraph"/>
        <w:numPr>
          <w:ilvl w:val="0"/>
          <w:numId w:val="6"/>
        </w:numPr>
        <w:spacing w:after="0"/>
        <w:rPr>
          <w:i/>
          <w:iCs/>
        </w:rPr>
      </w:pPr>
      <w:r>
        <w:rPr>
          <w:i/>
          <w:iCs/>
        </w:rPr>
        <w:t>Service Users - noise</w:t>
      </w:r>
    </w:p>
    <w:p w14:paraId="5F2F5A6A" w14:textId="34FB8648" w:rsidR="00445E4D" w:rsidRDefault="00595760" w:rsidP="00D140AD">
      <w:pPr>
        <w:pStyle w:val="ListParagraph"/>
        <w:numPr>
          <w:ilvl w:val="0"/>
          <w:numId w:val="6"/>
        </w:numPr>
        <w:spacing w:after="0"/>
        <w:rPr>
          <w:i/>
          <w:iCs/>
        </w:rPr>
      </w:pPr>
      <w:r w:rsidRPr="00445E4D">
        <w:rPr>
          <w:i/>
          <w:iCs/>
        </w:rPr>
        <w:t xml:space="preserve">Service </w:t>
      </w:r>
      <w:r w:rsidR="00B707FB">
        <w:rPr>
          <w:i/>
          <w:iCs/>
        </w:rPr>
        <w:t>Requests</w:t>
      </w:r>
    </w:p>
    <w:p w14:paraId="0582C78D" w14:textId="15959E59" w:rsidR="00EA3FA7" w:rsidRDefault="00EA3FA7" w:rsidP="00D140AD">
      <w:pPr>
        <w:pStyle w:val="ListParagraph"/>
        <w:numPr>
          <w:ilvl w:val="0"/>
          <w:numId w:val="6"/>
        </w:numPr>
        <w:spacing w:after="0"/>
        <w:rPr>
          <w:i/>
          <w:iCs/>
        </w:rPr>
      </w:pPr>
      <w:r>
        <w:rPr>
          <w:i/>
          <w:iCs/>
        </w:rPr>
        <w:t>Refused for consideration (RFC)</w:t>
      </w:r>
    </w:p>
    <w:p w14:paraId="4CAB60FD" w14:textId="1B6850B5" w:rsidR="000258BA" w:rsidRDefault="00595760" w:rsidP="00D140AD">
      <w:pPr>
        <w:pStyle w:val="ListParagraph"/>
        <w:numPr>
          <w:ilvl w:val="0"/>
          <w:numId w:val="6"/>
        </w:numPr>
        <w:spacing w:after="0"/>
        <w:rPr>
          <w:i/>
          <w:iCs/>
        </w:rPr>
      </w:pPr>
      <w:r w:rsidRPr="00445E4D">
        <w:rPr>
          <w:i/>
          <w:iCs/>
        </w:rPr>
        <w:t>Maintenance</w:t>
      </w:r>
    </w:p>
    <w:p w14:paraId="7C8CA445" w14:textId="2C9BE006" w:rsidR="00D847D3" w:rsidRPr="00445E4D" w:rsidRDefault="00D847D3" w:rsidP="00D140AD">
      <w:pPr>
        <w:pStyle w:val="ListParagraph"/>
        <w:numPr>
          <w:ilvl w:val="0"/>
          <w:numId w:val="6"/>
        </w:numPr>
        <w:spacing w:after="0"/>
        <w:rPr>
          <w:i/>
          <w:iCs/>
        </w:rPr>
      </w:pPr>
      <w:r>
        <w:rPr>
          <w:i/>
          <w:iCs/>
        </w:rPr>
        <w:t>Food/Catering</w:t>
      </w:r>
    </w:p>
    <w:p w14:paraId="41FBDAE4" w14:textId="597AE25E" w:rsidR="000258BA" w:rsidRDefault="000258BA" w:rsidP="00D140AD">
      <w:pPr>
        <w:spacing w:after="0"/>
        <w:rPr>
          <w:i/>
          <w:iCs/>
        </w:rPr>
      </w:pPr>
    </w:p>
    <w:p w14:paraId="27B68316" w14:textId="3CD13A3E" w:rsidR="00F82C01" w:rsidRPr="00D140AD" w:rsidRDefault="00EB6D1B" w:rsidP="00F82C01">
      <w:pPr>
        <w:spacing w:after="0"/>
        <w:rPr>
          <w:i/>
          <w:iCs/>
        </w:rPr>
      </w:pPr>
      <w:r>
        <w:rPr>
          <w:noProof/>
        </w:rPr>
        <w:drawing>
          <wp:inline distT="0" distB="0" distL="0" distR="0" wp14:anchorId="41B42594" wp14:editId="37127C6D">
            <wp:extent cx="4572000" cy="2964180"/>
            <wp:effectExtent l="0" t="0" r="0" b="7620"/>
            <wp:docPr id="1863377373" name="Chart 1">
              <a:extLst xmlns:a="http://schemas.openxmlformats.org/drawingml/2006/main">
                <a:ext uri="{FF2B5EF4-FFF2-40B4-BE49-F238E27FC236}">
                  <a16:creationId xmlns:a16="http://schemas.microsoft.com/office/drawing/2014/main" id="{2A456F70-6AAB-426A-8C70-291BFB819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8450DB4" w14:textId="77777777" w:rsidR="00595760" w:rsidRDefault="00595760" w:rsidP="00D140AD">
      <w:pPr>
        <w:spacing w:after="0"/>
        <w:rPr>
          <w:noProof/>
        </w:rPr>
      </w:pPr>
    </w:p>
    <w:p w14:paraId="3B07C7E6" w14:textId="3EB8F8EF" w:rsidR="00094F07" w:rsidRDefault="00855620" w:rsidP="00D772DD">
      <w:pPr>
        <w:spacing w:after="0"/>
        <w:rPr>
          <w:noProof/>
        </w:rPr>
      </w:pPr>
      <w:r>
        <w:rPr>
          <w:noProof/>
        </w:rPr>
        <w:lastRenderedPageBreak/>
        <w:t>We can see from th</w:t>
      </w:r>
      <w:r w:rsidR="0085454A">
        <w:rPr>
          <w:noProof/>
        </w:rPr>
        <w:t xml:space="preserve">e above figures that the number of complaints has doubled from last year. This is a positive thing for our organisation as it means we have made it easier for people to get in touch and express their concerns to us </w:t>
      </w:r>
      <w:r w:rsidR="00104FFD">
        <w:rPr>
          <w:noProof/>
        </w:rPr>
        <w:t>and have made the information accessible to more of our complainants.</w:t>
      </w:r>
      <w:r w:rsidR="00B004C3">
        <w:rPr>
          <w:noProof/>
        </w:rPr>
        <w:t xml:space="preserve"> It also means it gives us more of an insight into particular areas that are repeatedly complained about</w:t>
      </w:r>
      <w:r w:rsidR="00AE61D8">
        <w:rPr>
          <w:noProof/>
        </w:rPr>
        <w:t xml:space="preserve"> where we can focus on improving our service. </w:t>
      </w:r>
    </w:p>
    <w:p w14:paraId="0440BF07" w14:textId="77777777" w:rsidR="00D772DD" w:rsidRDefault="00D772DD" w:rsidP="00D772DD">
      <w:pPr>
        <w:spacing w:after="0"/>
        <w:rPr>
          <w:noProof/>
        </w:rPr>
      </w:pPr>
    </w:p>
    <w:p w14:paraId="24FF5940" w14:textId="0C4E7AD4" w:rsidR="00CC3B45" w:rsidRDefault="00D140AD" w:rsidP="00CC3B45">
      <w:pPr>
        <w:spacing w:after="0"/>
      </w:pPr>
      <w:r>
        <w:t>The highest number of complaints received is with regards to staff members</w:t>
      </w:r>
      <w:r w:rsidR="0013410B">
        <w:t xml:space="preserve">. </w:t>
      </w:r>
      <w:r w:rsidR="007E75DA">
        <w:t>Each c</w:t>
      </w:r>
      <w:r w:rsidR="00B77A07">
        <w:t>omplaint</w:t>
      </w:r>
      <w:r w:rsidR="007E75DA">
        <w:t xml:space="preserve"> is </w:t>
      </w:r>
      <w:r w:rsidR="00AE61D8">
        <w:t>considered</w:t>
      </w:r>
      <w:r w:rsidR="007E75DA">
        <w:t xml:space="preserve"> on a case-by-case basis and investigated by the relevant service manager.</w:t>
      </w:r>
      <w:r w:rsidR="00B77A07">
        <w:t xml:space="preserve"> When a pattern has emerged with regards to behavioural complaints</w:t>
      </w:r>
      <w:r w:rsidR="00C96873">
        <w:t xml:space="preserve">, these have been escalated to ensure our values are being represented across our organisation. </w:t>
      </w:r>
    </w:p>
    <w:p w14:paraId="3B2180B7" w14:textId="77777777" w:rsidR="00CC3B45" w:rsidRDefault="00CC3B45" w:rsidP="00CC3B45">
      <w:pPr>
        <w:spacing w:after="0"/>
      </w:pPr>
    </w:p>
    <w:p w14:paraId="1A98D8B9" w14:textId="7B72019F" w:rsidR="00CC3B45" w:rsidRPr="00CC3B45" w:rsidRDefault="00CC3B45" w:rsidP="00CC3B45">
      <w:pPr>
        <w:spacing w:after="0"/>
        <w:rPr>
          <w:b/>
          <w:bCs/>
          <w:u w:val="single"/>
        </w:rPr>
      </w:pPr>
      <w:r w:rsidRPr="00CC3B45">
        <w:rPr>
          <w:b/>
          <w:bCs/>
          <w:u w:val="single"/>
        </w:rPr>
        <w:t>Service Requests</w:t>
      </w:r>
    </w:p>
    <w:p w14:paraId="4C374D58" w14:textId="0F53BD7B" w:rsidR="00CC3B45" w:rsidRDefault="00CC3B45" w:rsidP="00CC3B45">
      <w:pPr>
        <w:spacing w:after="0"/>
        <w:rPr>
          <w:noProof/>
        </w:rPr>
      </w:pPr>
      <w:r>
        <w:rPr>
          <w:noProof/>
        </w:rPr>
        <w:t xml:space="preserve">We received 3 service requests during this time period relating to switching key workers due to personality clashes, request for staff to not undertake room searches when suspected substances misuse is happening and request to not be reported missing to police when absent from the building for a few days and not answering phone calls. The request to change workers was accepted as we want to ensure our residents receive the best support and feel comfortable with their worker. The other requests were declined as they are best practice for safeguarding all residents and staff. </w:t>
      </w:r>
    </w:p>
    <w:p w14:paraId="0A7095C0" w14:textId="77777777" w:rsidR="00B4594B" w:rsidRDefault="00B4594B" w:rsidP="00CC3B45">
      <w:pPr>
        <w:spacing w:after="0"/>
        <w:rPr>
          <w:noProof/>
        </w:rPr>
      </w:pPr>
    </w:p>
    <w:p w14:paraId="55FF777B" w14:textId="54B53E4F" w:rsidR="00E3414C" w:rsidRPr="00E3414C" w:rsidRDefault="00E3414C" w:rsidP="0078008D">
      <w:pPr>
        <w:rPr>
          <w:b/>
          <w:bCs/>
          <w:u w:val="single"/>
        </w:rPr>
      </w:pPr>
      <w:r w:rsidRPr="00E3414C">
        <w:rPr>
          <w:b/>
          <w:bCs/>
          <w:u w:val="single"/>
        </w:rPr>
        <w:t xml:space="preserve">Analysis of data </w:t>
      </w:r>
    </w:p>
    <w:p w14:paraId="60A4C994" w14:textId="7E902F5A" w:rsidR="002C3437" w:rsidRPr="00DF3B1D" w:rsidRDefault="0009448E" w:rsidP="0009448E">
      <w:pPr>
        <w:rPr>
          <w:i/>
          <w:iCs/>
        </w:rPr>
      </w:pPr>
      <w:r>
        <w:rPr>
          <w:i/>
          <w:iCs/>
        </w:rPr>
        <w:t>0</w:t>
      </w:r>
      <w:r w:rsidR="00C94A9F" w:rsidRPr="00DF3B1D">
        <w:rPr>
          <w:i/>
          <w:iCs/>
        </w:rPr>
        <w:t>% of complaints were escalated to Stage 2</w:t>
      </w:r>
      <w:r w:rsidR="00B86E3C" w:rsidRPr="00DF3B1D">
        <w:rPr>
          <w:i/>
          <w:iCs/>
        </w:rPr>
        <w:t xml:space="preserve"> of our complaints handling procedure</w:t>
      </w:r>
      <w:r w:rsidR="00C94A9F" w:rsidRPr="00DF3B1D">
        <w:rPr>
          <w:i/>
          <w:iCs/>
        </w:rPr>
        <w:t>.</w:t>
      </w:r>
      <w:r w:rsidR="00DF3B1D">
        <w:rPr>
          <w:i/>
          <w:iCs/>
        </w:rPr>
        <w:t xml:space="preserve"> </w:t>
      </w:r>
    </w:p>
    <w:p w14:paraId="0405C8AD" w14:textId="4E00A207" w:rsidR="000258BA" w:rsidRDefault="00A50C92" w:rsidP="00A50C92">
      <w:r>
        <w:rPr>
          <w:i/>
          <w:iCs/>
        </w:rPr>
        <w:t>2.</w:t>
      </w:r>
      <w:r w:rsidR="00D3165A">
        <w:rPr>
          <w:i/>
          <w:iCs/>
        </w:rPr>
        <w:t>9</w:t>
      </w:r>
      <w:r w:rsidR="006B45D5" w:rsidRPr="00DF3B1D">
        <w:rPr>
          <w:i/>
          <w:iCs/>
        </w:rPr>
        <w:t xml:space="preserve">% of complaints were </w:t>
      </w:r>
      <w:r w:rsidR="00F41EA1" w:rsidRPr="00DF3B1D">
        <w:rPr>
          <w:i/>
          <w:iCs/>
        </w:rPr>
        <w:t>refused for consideration</w:t>
      </w:r>
      <w:r>
        <w:rPr>
          <w:i/>
          <w:iCs/>
        </w:rPr>
        <w:t xml:space="preserve"> (1)</w:t>
      </w:r>
      <w:r w:rsidR="00B86E3C" w:rsidRPr="00DF3B1D">
        <w:rPr>
          <w:i/>
          <w:iCs/>
        </w:rPr>
        <w:t>.</w:t>
      </w:r>
      <w:r w:rsidR="00F41EA1" w:rsidRPr="00DF3B1D">
        <w:rPr>
          <w:i/>
          <w:iCs/>
        </w:rPr>
        <w:t xml:space="preserve"> </w:t>
      </w:r>
      <w:r w:rsidR="006B2E68" w:rsidRPr="00DF3B1D">
        <w:rPr>
          <w:i/>
          <w:iCs/>
        </w:rPr>
        <w:t xml:space="preserve">The reasons </w:t>
      </w:r>
      <w:proofErr w:type="gramStart"/>
      <w:r>
        <w:rPr>
          <w:i/>
          <w:iCs/>
        </w:rPr>
        <w:t>was</w:t>
      </w:r>
      <w:proofErr w:type="gramEnd"/>
      <w:r w:rsidR="00B4594B">
        <w:rPr>
          <w:i/>
          <w:iCs/>
        </w:rPr>
        <w:t>:</w:t>
      </w:r>
    </w:p>
    <w:p w14:paraId="71A6E57E" w14:textId="02343714" w:rsidR="009F1644" w:rsidRDefault="009F1644" w:rsidP="0078008D">
      <w:pPr>
        <w:pStyle w:val="ListParagraph"/>
        <w:numPr>
          <w:ilvl w:val="0"/>
          <w:numId w:val="5"/>
        </w:numPr>
      </w:pPr>
      <w:r>
        <w:t>C</w:t>
      </w:r>
      <w:r w:rsidR="00A50C92">
        <w:t>omplainant was a resident and put in a complaint about not liking another resident</w:t>
      </w:r>
      <w:r w:rsidR="008506AF">
        <w:t>, it did not involve YMCA Derbyshire. They were instead offered to do a mediation to discuss their issues together.</w:t>
      </w:r>
    </w:p>
    <w:p w14:paraId="3C4F5A66" w14:textId="5E55CB13" w:rsidR="00F41EA1" w:rsidRPr="00B96065" w:rsidRDefault="00893D9E" w:rsidP="0078008D">
      <w:pPr>
        <w:rPr>
          <w:i/>
          <w:iCs/>
        </w:rPr>
      </w:pPr>
      <w:r>
        <w:rPr>
          <w:i/>
          <w:iCs/>
        </w:rPr>
        <w:t>61.76</w:t>
      </w:r>
      <w:r w:rsidR="00F41EA1" w:rsidRPr="00B96065">
        <w:rPr>
          <w:i/>
          <w:iCs/>
        </w:rPr>
        <w:t xml:space="preserve">% of complaints were </w:t>
      </w:r>
      <w:r w:rsidR="006D6AB9" w:rsidRPr="00B96065">
        <w:rPr>
          <w:i/>
          <w:iCs/>
        </w:rPr>
        <w:t xml:space="preserve">not </w:t>
      </w:r>
      <w:r w:rsidR="00F41EA1" w:rsidRPr="00B96065">
        <w:rPr>
          <w:i/>
          <w:iCs/>
        </w:rPr>
        <w:t>upheld</w:t>
      </w:r>
      <w:r w:rsidR="0009448E">
        <w:rPr>
          <w:i/>
          <w:iCs/>
        </w:rPr>
        <w:t xml:space="preserve"> (2</w:t>
      </w:r>
      <w:r w:rsidR="00744EB2">
        <w:rPr>
          <w:i/>
          <w:iCs/>
        </w:rPr>
        <w:t>1</w:t>
      </w:r>
      <w:r w:rsidR="0009448E">
        <w:rPr>
          <w:i/>
          <w:iCs/>
        </w:rPr>
        <w:t>)</w:t>
      </w:r>
      <w:r w:rsidR="00B86E3C" w:rsidRPr="00B96065">
        <w:rPr>
          <w:i/>
          <w:iCs/>
        </w:rPr>
        <w:t>.</w:t>
      </w:r>
      <w:r w:rsidR="006D6AB9" w:rsidRPr="00B96065">
        <w:rPr>
          <w:i/>
          <w:iCs/>
        </w:rPr>
        <w:t xml:space="preserve"> The reasons were varied and include:</w:t>
      </w:r>
    </w:p>
    <w:p w14:paraId="5CF06C03" w14:textId="6093CBCE" w:rsidR="007911EB" w:rsidRDefault="00FC7146" w:rsidP="00361622">
      <w:pPr>
        <w:pStyle w:val="ListParagraph"/>
        <w:numPr>
          <w:ilvl w:val="0"/>
          <w:numId w:val="5"/>
        </w:numPr>
      </w:pPr>
      <w:r>
        <w:t xml:space="preserve">No evidence </w:t>
      </w:r>
      <w:r w:rsidR="00BE53F5">
        <w:t>of ASB was found after monitoring</w:t>
      </w:r>
    </w:p>
    <w:p w14:paraId="3EED029A" w14:textId="66AA7B71" w:rsidR="000258BA" w:rsidRDefault="00520D13" w:rsidP="00361622">
      <w:pPr>
        <w:pStyle w:val="ListParagraph"/>
        <w:numPr>
          <w:ilvl w:val="0"/>
          <w:numId w:val="5"/>
        </w:numPr>
      </w:pPr>
      <w:r>
        <w:t xml:space="preserve">Witness statements do not align with complaint about staff </w:t>
      </w:r>
    </w:p>
    <w:p w14:paraId="198C5F91" w14:textId="7649BB2D" w:rsidR="000258BA" w:rsidRDefault="000A3928" w:rsidP="00361622">
      <w:pPr>
        <w:pStyle w:val="ListParagraph"/>
        <w:numPr>
          <w:ilvl w:val="0"/>
          <w:numId w:val="5"/>
        </w:numPr>
      </w:pPr>
      <w:r>
        <w:t xml:space="preserve">Complainant withdrew complaint after thinking further on a </w:t>
      </w:r>
      <w:r w:rsidR="00361622">
        <w:t>situation</w:t>
      </w:r>
    </w:p>
    <w:p w14:paraId="68F4AC8E" w14:textId="54E7D9BB" w:rsidR="00361622" w:rsidRDefault="004C3452" w:rsidP="00361622">
      <w:pPr>
        <w:pStyle w:val="ListParagraph"/>
        <w:numPr>
          <w:ilvl w:val="0"/>
          <w:numId w:val="5"/>
        </w:numPr>
      </w:pPr>
      <w:r>
        <w:t>No evidence of staff wrongdoing, processes correctly followed</w:t>
      </w:r>
    </w:p>
    <w:p w14:paraId="43AE46C6" w14:textId="777AE529" w:rsidR="001A54B2" w:rsidRDefault="001A54B2" w:rsidP="00361622">
      <w:pPr>
        <w:pStyle w:val="ListParagraph"/>
        <w:numPr>
          <w:ilvl w:val="0"/>
          <w:numId w:val="5"/>
        </w:numPr>
      </w:pPr>
      <w:r>
        <w:t xml:space="preserve">No further information provided on missing items, despite multiple phone calls and emails sent to complainant, welcomed to reopen another complaint </w:t>
      </w:r>
      <w:r w:rsidR="00B64E26">
        <w:t>if they come back to us with the requested information.</w:t>
      </w:r>
    </w:p>
    <w:p w14:paraId="056FCED7" w14:textId="1A4E6EE2" w:rsidR="000258BA" w:rsidRDefault="00547785" w:rsidP="000258BA">
      <w:pPr>
        <w:pStyle w:val="ListParagraph"/>
        <w:numPr>
          <w:ilvl w:val="0"/>
          <w:numId w:val="5"/>
        </w:numPr>
      </w:pPr>
      <w:r>
        <w:t xml:space="preserve">Complainant admitted that staff had not done anything wrong </w:t>
      </w:r>
      <w:r w:rsidR="00E96012">
        <w:t xml:space="preserve">and had just been anxious they may receive a warning so pre-emptively submitted a complaint. </w:t>
      </w:r>
    </w:p>
    <w:p w14:paraId="457247D1" w14:textId="07DB1B77" w:rsidR="00506723" w:rsidRDefault="00966E95" w:rsidP="00291054">
      <w:pPr>
        <w:spacing w:after="0"/>
        <w:rPr>
          <w:i/>
          <w:iCs/>
        </w:rPr>
      </w:pPr>
      <w:r w:rsidRPr="004B669F">
        <w:rPr>
          <w:i/>
          <w:iCs/>
        </w:rPr>
        <w:t>100</w:t>
      </w:r>
      <w:r w:rsidR="002E7BEE" w:rsidRPr="004B669F">
        <w:rPr>
          <w:i/>
          <w:iCs/>
        </w:rPr>
        <w:t xml:space="preserve">% of complaints were in line with the Housing Ombudsman code. </w:t>
      </w:r>
    </w:p>
    <w:p w14:paraId="796B371D" w14:textId="77777777" w:rsidR="00291054" w:rsidRPr="00291054" w:rsidRDefault="00291054" w:rsidP="00291054">
      <w:pPr>
        <w:spacing w:after="0"/>
        <w:rPr>
          <w:i/>
          <w:iCs/>
        </w:rPr>
      </w:pPr>
    </w:p>
    <w:p w14:paraId="4FF20EE3" w14:textId="69E30EF9" w:rsidR="00506723" w:rsidRDefault="004B423D" w:rsidP="00291054">
      <w:pPr>
        <w:spacing w:after="0"/>
        <w:rPr>
          <w:i/>
          <w:iCs/>
        </w:rPr>
      </w:pPr>
      <w:r>
        <w:rPr>
          <w:i/>
          <w:iCs/>
        </w:rPr>
        <w:t>7</w:t>
      </w:r>
      <w:r w:rsidR="00893D9E">
        <w:rPr>
          <w:i/>
          <w:iCs/>
        </w:rPr>
        <w:t>9.41</w:t>
      </w:r>
      <w:r w:rsidR="00506723" w:rsidRPr="00CB6403">
        <w:rPr>
          <w:i/>
          <w:iCs/>
        </w:rPr>
        <w:t>% of complainants had known vulnerabilities</w:t>
      </w:r>
      <w:r w:rsidR="00CD434A">
        <w:rPr>
          <w:i/>
          <w:iCs/>
        </w:rPr>
        <w:t xml:space="preserve"> (27)</w:t>
      </w:r>
      <w:r w:rsidR="00BF49CA">
        <w:rPr>
          <w:i/>
          <w:iCs/>
        </w:rPr>
        <w:t xml:space="preserve">, </w:t>
      </w:r>
      <w:r w:rsidR="00445E4D">
        <w:rPr>
          <w:i/>
          <w:iCs/>
        </w:rPr>
        <w:t>27 had</w:t>
      </w:r>
      <w:r w:rsidR="00BF49CA">
        <w:rPr>
          <w:i/>
          <w:iCs/>
        </w:rPr>
        <w:t xml:space="preserve"> ‘experience of homelessness’ </w:t>
      </w:r>
      <w:r w:rsidR="000F1B0D">
        <w:rPr>
          <w:i/>
          <w:iCs/>
        </w:rPr>
        <w:t xml:space="preserve">and </w:t>
      </w:r>
      <w:r w:rsidR="0031147E">
        <w:rPr>
          <w:i/>
          <w:iCs/>
        </w:rPr>
        <w:t>9</w:t>
      </w:r>
      <w:r w:rsidR="000F1B0D">
        <w:rPr>
          <w:i/>
          <w:iCs/>
        </w:rPr>
        <w:t xml:space="preserve"> w</w:t>
      </w:r>
      <w:r w:rsidR="00445E4D">
        <w:rPr>
          <w:i/>
          <w:iCs/>
        </w:rPr>
        <w:t>ere</w:t>
      </w:r>
      <w:r w:rsidR="000F1B0D">
        <w:rPr>
          <w:i/>
          <w:iCs/>
        </w:rPr>
        <w:t xml:space="preserve"> ‘</w:t>
      </w:r>
      <w:r w:rsidR="0031147E">
        <w:rPr>
          <w:i/>
          <w:iCs/>
        </w:rPr>
        <w:t xml:space="preserve">living with </w:t>
      </w:r>
      <w:r w:rsidR="000F1B0D">
        <w:rPr>
          <w:i/>
          <w:iCs/>
        </w:rPr>
        <w:t>disabilit</w:t>
      </w:r>
      <w:r w:rsidR="0031147E">
        <w:rPr>
          <w:i/>
          <w:iCs/>
        </w:rPr>
        <w:t>y</w:t>
      </w:r>
      <w:r w:rsidR="000F1B0D">
        <w:rPr>
          <w:i/>
          <w:iCs/>
        </w:rPr>
        <w:t>’</w:t>
      </w:r>
      <w:r w:rsidR="00CB6403">
        <w:rPr>
          <w:i/>
          <w:iCs/>
        </w:rPr>
        <w:t>.</w:t>
      </w:r>
      <w:r>
        <w:rPr>
          <w:i/>
          <w:iCs/>
        </w:rPr>
        <w:t xml:space="preserve"> None</w:t>
      </w:r>
      <w:r w:rsidR="006E2F56">
        <w:rPr>
          <w:i/>
          <w:iCs/>
        </w:rPr>
        <w:t xml:space="preserve"> required adjustments under the Equality Act 2010.</w:t>
      </w:r>
    </w:p>
    <w:p w14:paraId="2E900987" w14:textId="77777777" w:rsidR="00291054" w:rsidRDefault="00291054" w:rsidP="00291054">
      <w:pPr>
        <w:spacing w:after="0"/>
        <w:rPr>
          <w:i/>
          <w:iCs/>
        </w:rPr>
      </w:pPr>
    </w:p>
    <w:p w14:paraId="4D7CFC52" w14:textId="77777777" w:rsidR="00093AE8" w:rsidRPr="00445E4D" w:rsidRDefault="00093AE8" w:rsidP="00291054">
      <w:pPr>
        <w:spacing w:after="0"/>
      </w:pPr>
    </w:p>
    <w:p w14:paraId="589B8C65" w14:textId="279EFCDF" w:rsidR="002E7BEE" w:rsidRDefault="00C6590A" w:rsidP="0078008D">
      <w:pPr>
        <w:rPr>
          <w:b/>
          <w:bCs/>
          <w:u w:val="single"/>
        </w:rPr>
      </w:pPr>
      <w:r>
        <w:rPr>
          <w:b/>
          <w:bCs/>
          <w:u w:val="single"/>
        </w:rPr>
        <w:t xml:space="preserve">Housing Ombudsman </w:t>
      </w:r>
      <w:r w:rsidR="000258BA">
        <w:rPr>
          <w:b/>
          <w:bCs/>
          <w:u w:val="single"/>
        </w:rPr>
        <w:t>Complaints</w:t>
      </w:r>
    </w:p>
    <w:p w14:paraId="77EA92AE" w14:textId="3AFD8382" w:rsidR="00291054" w:rsidRDefault="000258BA" w:rsidP="0078008D">
      <w:r>
        <w:t>There were no complaints escalated to the Housing Ombudsman this year.</w:t>
      </w:r>
    </w:p>
    <w:p w14:paraId="7835309B" w14:textId="77777777" w:rsidR="00093AE8" w:rsidRDefault="00093AE8" w:rsidP="0078008D"/>
    <w:p w14:paraId="656580F1" w14:textId="44A17B54" w:rsidR="009E2D0C" w:rsidRPr="002E7BEE" w:rsidRDefault="00C6590A" w:rsidP="0078008D">
      <w:pPr>
        <w:rPr>
          <w:b/>
          <w:bCs/>
          <w:u w:val="single"/>
        </w:rPr>
      </w:pPr>
      <w:r>
        <w:rPr>
          <w:b/>
          <w:bCs/>
          <w:u w:val="single"/>
        </w:rPr>
        <w:t>Learning and Improvements to our services</w:t>
      </w:r>
    </w:p>
    <w:p w14:paraId="4E08C307" w14:textId="4700E3A3" w:rsidR="006267E6" w:rsidRDefault="00ED5A87" w:rsidP="000D4E5A">
      <w:pPr>
        <w:pStyle w:val="ListParagraph"/>
        <w:numPr>
          <w:ilvl w:val="0"/>
          <w:numId w:val="7"/>
        </w:numPr>
      </w:pPr>
      <w:r w:rsidRPr="005D64EA">
        <w:t>Having a familiar presence such as the housing navigator when having conversation</w:t>
      </w:r>
      <w:r w:rsidR="005D64EA" w:rsidRPr="005D64EA">
        <w:t>s</w:t>
      </w:r>
      <w:r w:rsidRPr="005D64EA">
        <w:t xml:space="preserve"> on confusing areas such as rent may be beneficial as it can ease the resident and make them feel less overwhelmed.</w:t>
      </w:r>
    </w:p>
    <w:p w14:paraId="7A7599FC" w14:textId="775461F9" w:rsidR="000258BA" w:rsidRPr="000D4E5A" w:rsidRDefault="00460434" w:rsidP="000D4E5A">
      <w:pPr>
        <w:pStyle w:val="ListParagraph"/>
        <w:numPr>
          <w:ilvl w:val="0"/>
          <w:numId w:val="7"/>
        </w:numPr>
        <w:rPr>
          <w:rFonts w:ascii="Aptos" w:hAnsi="Aptos"/>
        </w:rPr>
      </w:pPr>
      <w:r w:rsidRPr="007D1AA0">
        <w:t xml:space="preserve">We should not isolate one resident within a group when asking for noise to be kept to a </w:t>
      </w:r>
      <w:r w:rsidRPr="000D4E5A">
        <w:rPr>
          <w:rFonts w:ascii="Aptos" w:hAnsi="Aptos"/>
        </w:rPr>
        <w:t xml:space="preserve">minimum </w:t>
      </w:r>
      <w:r w:rsidR="007D1AA0" w:rsidRPr="000D4E5A">
        <w:rPr>
          <w:rFonts w:ascii="Aptos" w:hAnsi="Aptos"/>
        </w:rPr>
        <w:t xml:space="preserve">during the night. </w:t>
      </w:r>
    </w:p>
    <w:p w14:paraId="3338E678" w14:textId="343DA039" w:rsidR="000258BA" w:rsidRPr="000D4E5A" w:rsidRDefault="00304134" w:rsidP="000D4E5A">
      <w:pPr>
        <w:pStyle w:val="ListParagraph"/>
        <w:numPr>
          <w:ilvl w:val="0"/>
          <w:numId w:val="7"/>
        </w:numPr>
        <w:rPr>
          <w:rFonts w:ascii="Aptos" w:hAnsi="Aptos"/>
        </w:rPr>
      </w:pPr>
      <w:r w:rsidRPr="000D4E5A">
        <w:rPr>
          <w:rFonts w:ascii="Aptos" w:hAnsi="Aptos"/>
        </w:rPr>
        <w:t>Being cautious of the language we use is important when our residents may be struggling with their mental health.</w:t>
      </w:r>
    </w:p>
    <w:p w14:paraId="16915C8D" w14:textId="725A76D7" w:rsidR="000258BA" w:rsidRPr="000D4E5A" w:rsidRDefault="00F64F37" w:rsidP="000D4E5A">
      <w:pPr>
        <w:pStyle w:val="ListParagraph"/>
        <w:numPr>
          <w:ilvl w:val="0"/>
          <w:numId w:val="7"/>
        </w:numPr>
        <w:rPr>
          <w:rFonts w:ascii="Aptos" w:hAnsi="Aptos"/>
        </w:rPr>
      </w:pPr>
      <w:r w:rsidRPr="000D4E5A">
        <w:rPr>
          <w:rFonts w:ascii="Aptos" w:hAnsi="Aptos"/>
        </w:rPr>
        <w:t>More careful consideration towards who we are placing in offsite properties and a more robust allocations assessment to be undertaken.</w:t>
      </w:r>
    </w:p>
    <w:p w14:paraId="4B6275F8" w14:textId="5E8B78CD" w:rsidR="00781AC7" w:rsidRPr="000D4E5A" w:rsidRDefault="00781AC7" w:rsidP="000D4E5A">
      <w:pPr>
        <w:pStyle w:val="ListParagraph"/>
        <w:numPr>
          <w:ilvl w:val="0"/>
          <w:numId w:val="7"/>
        </w:numPr>
        <w:rPr>
          <w:rFonts w:ascii="Aptos" w:hAnsi="Aptos"/>
        </w:rPr>
      </w:pPr>
      <w:r w:rsidRPr="000D4E5A">
        <w:rPr>
          <w:rFonts w:ascii="Aptos" w:hAnsi="Aptos"/>
        </w:rPr>
        <w:t xml:space="preserve">For maintenance requests </w:t>
      </w:r>
      <w:r w:rsidR="00A517E2" w:rsidRPr="000D4E5A">
        <w:rPr>
          <w:rFonts w:ascii="Aptos" w:hAnsi="Aptos"/>
        </w:rPr>
        <w:t xml:space="preserve">to be escalated to senior management if not resolved within specified time frames. </w:t>
      </w:r>
    </w:p>
    <w:p w14:paraId="2DC38972" w14:textId="654B74F5" w:rsidR="00F05CD4" w:rsidRPr="000D4E5A" w:rsidRDefault="00F05CD4" w:rsidP="000D4E5A">
      <w:pPr>
        <w:pStyle w:val="ListParagraph"/>
        <w:numPr>
          <w:ilvl w:val="0"/>
          <w:numId w:val="7"/>
        </w:numPr>
        <w:rPr>
          <w:rFonts w:ascii="Aptos" w:hAnsi="Aptos"/>
        </w:rPr>
      </w:pPr>
      <w:r w:rsidRPr="000D4E5A">
        <w:rPr>
          <w:rFonts w:ascii="Aptos" w:hAnsi="Aptos"/>
        </w:rPr>
        <w:t>Review the use of guest bans and upon the last week, assess as to whether this needs to be renewed.</w:t>
      </w:r>
    </w:p>
    <w:p w14:paraId="553BB00A" w14:textId="7D89F174" w:rsidR="000258BA" w:rsidRPr="000D4E5A" w:rsidRDefault="00A43334" w:rsidP="000D4E5A">
      <w:pPr>
        <w:pStyle w:val="ListParagraph"/>
        <w:numPr>
          <w:ilvl w:val="0"/>
          <w:numId w:val="7"/>
        </w:numPr>
        <w:rPr>
          <w:rFonts w:ascii="Aptos" w:hAnsi="Aptos"/>
        </w:rPr>
      </w:pPr>
      <w:r w:rsidRPr="000D4E5A">
        <w:rPr>
          <w:rFonts w:ascii="Aptos" w:hAnsi="Aptos"/>
        </w:rPr>
        <w:t>Staff are to take into consideration how conditions such as Tourette’s may impact how a resident behaves in public areas.</w:t>
      </w:r>
      <w:r w:rsidR="00381841" w:rsidRPr="000D4E5A">
        <w:rPr>
          <w:rFonts w:ascii="Aptos" w:hAnsi="Aptos"/>
        </w:rPr>
        <w:t xml:space="preserve"> Further training to be built and delivered to the wider team on this condition and how we can best support our residents with it.</w:t>
      </w:r>
    </w:p>
    <w:p w14:paraId="5FABC84D" w14:textId="5F2B6967" w:rsidR="00381841" w:rsidRDefault="007D4769" w:rsidP="000D4E5A">
      <w:pPr>
        <w:pStyle w:val="ListParagraph"/>
        <w:numPr>
          <w:ilvl w:val="0"/>
          <w:numId w:val="7"/>
        </w:numPr>
        <w:rPr>
          <w:rFonts w:ascii="Aptos" w:hAnsi="Aptos"/>
        </w:rPr>
      </w:pPr>
      <w:r w:rsidRPr="000D4E5A">
        <w:rPr>
          <w:rFonts w:ascii="Aptos" w:hAnsi="Aptos"/>
        </w:rPr>
        <w:t xml:space="preserve">Staff to be mindful of where they are conducting </w:t>
      </w:r>
      <w:r w:rsidR="0049363D" w:rsidRPr="000D4E5A">
        <w:rPr>
          <w:rFonts w:ascii="Aptos" w:hAnsi="Aptos"/>
        </w:rPr>
        <w:t xml:space="preserve">bag </w:t>
      </w:r>
      <w:r w:rsidRPr="000D4E5A">
        <w:rPr>
          <w:rFonts w:ascii="Aptos" w:hAnsi="Aptos"/>
        </w:rPr>
        <w:t xml:space="preserve">searches and only do so in </w:t>
      </w:r>
      <w:r w:rsidR="0049363D" w:rsidRPr="000D4E5A">
        <w:rPr>
          <w:rFonts w:ascii="Aptos" w:hAnsi="Aptos"/>
        </w:rPr>
        <w:t>private areas away from other residents.</w:t>
      </w:r>
    </w:p>
    <w:p w14:paraId="69F0A72C" w14:textId="615BDE36" w:rsidR="00BA2120" w:rsidRPr="000D4E5A" w:rsidRDefault="005E0BE7" w:rsidP="000D4E5A">
      <w:pPr>
        <w:pStyle w:val="ListParagraph"/>
        <w:numPr>
          <w:ilvl w:val="0"/>
          <w:numId w:val="7"/>
        </w:numPr>
        <w:rPr>
          <w:rFonts w:ascii="Aptos" w:hAnsi="Aptos"/>
        </w:rPr>
      </w:pPr>
      <w:r>
        <w:rPr>
          <w:rFonts w:ascii="Aptos" w:hAnsi="Aptos"/>
        </w:rPr>
        <w:t>Building works being undertaken to improve pest control on our Campus.</w:t>
      </w:r>
    </w:p>
    <w:p w14:paraId="4F7B6719" w14:textId="77777777" w:rsidR="00093AE8" w:rsidRDefault="00093AE8" w:rsidP="0078008D"/>
    <w:p w14:paraId="13B1BBB4" w14:textId="7561575D" w:rsidR="006C068C" w:rsidRPr="00647C49" w:rsidRDefault="00647C49" w:rsidP="0078008D">
      <w:pPr>
        <w:rPr>
          <w:b/>
          <w:bCs/>
          <w:u w:val="single"/>
        </w:rPr>
      </w:pPr>
      <w:r w:rsidRPr="00647C49">
        <w:rPr>
          <w:b/>
          <w:bCs/>
          <w:u w:val="single"/>
        </w:rPr>
        <w:t xml:space="preserve">Our Governing Body’s Response </w:t>
      </w:r>
      <w:proofErr w:type="gramStart"/>
      <w:r w:rsidRPr="00647C49">
        <w:rPr>
          <w:b/>
          <w:bCs/>
          <w:u w:val="single"/>
        </w:rPr>
        <w:t>To</w:t>
      </w:r>
      <w:proofErr w:type="gramEnd"/>
      <w:r w:rsidRPr="00647C49">
        <w:rPr>
          <w:b/>
          <w:bCs/>
          <w:u w:val="single"/>
        </w:rPr>
        <w:t xml:space="preserve"> Report</w:t>
      </w:r>
    </w:p>
    <w:p w14:paraId="39D305EC" w14:textId="77777777" w:rsidR="00927FD9" w:rsidRPr="00927FD9" w:rsidRDefault="00927FD9" w:rsidP="00927FD9">
      <w:pPr>
        <w:rPr>
          <w:rFonts w:cs="Calibri"/>
          <w:color w:val="000000"/>
        </w:rPr>
      </w:pPr>
      <w:r w:rsidRPr="00927FD9">
        <w:rPr>
          <w:rFonts w:cs="Calibri"/>
          <w:color w:val="000000"/>
        </w:rPr>
        <w:t xml:space="preserve">As housing is the core of our service it can be expected that this is where we will receive </w:t>
      </w:r>
      <w:proofErr w:type="gramStart"/>
      <w:r w:rsidRPr="00927FD9">
        <w:rPr>
          <w:rFonts w:cs="Calibri"/>
          <w:color w:val="000000"/>
        </w:rPr>
        <w:t>the majority of</w:t>
      </w:r>
      <w:proofErr w:type="gramEnd"/>
      <w:r w:rsidRPr="00927FD9">
        <w:rPr>
          <w:rFonts w:cs="Calibri"/>
          <w:color w:val="000000"/>
        </w:rPr>
        <w:t xml:space="preserve"> complaints. </w:t>
      </w:r>
    </w:p>
    <w:p w14:paraId="6F97063F" w14:textId="77777777" w:rsidR="00927FD9" w:rsidRPr="00927FD9" w:rsidRDefault="00927FD9" w:rsidP="00927FD9">
      <w:pPr>
        <w:rPr>
          <w:rFonts w:cs="Calibri"/>
          <w:color w:val="000000"/>
        </w:rPr>
      </w:pPr>
      <w:r w:rsidRPr="00927FD9">
        <w:rPr>
          <w:rFonts w:cs="Calibri"/>
          <w:color w:val="000000"/>
        </w:rPr>
        <w:t xml:space="preserve">Although the number of complaints </w:t>
      </w:r>
      <w:proofErr w:type="gramStart"/>
      <w:r w:rsidRPr="00927FD9">
        <w:rPr>
          <w:rFonts w:cs="Calibri"/>
          <w:color w:val="000000"/>
        </w:rPr>
        <w:t>have</w:t>
      </w:r>
      <w:proofErr w:type="gramEnd"/>
      <w:r w:rsidRPr="00927FD9">
        <w:rPr>
          <w:rFonts w:cs="Calibri"/>
          <w:color w:val="000000"/>
        </w:rPr>
        <w:t xml:space="preserve"> increased from last year it demonstrates that we have an accessible </w:t>
      </w:r>
      <w:proofErr w:type="gramStart"/>
      <w:r w:rsidRPr="00927FD9">
        <w:rPr>
          <w:rFonts w:cs="Calibri"/>
          <w:color w:val="000000"/>
        </w:rPr>
        <w:t>system</w:t>
      </w:r>
      <w:proofErr w:type="gramEnd"/>
      <w:r w:rsidRPr="00927FD9">
        <w:rPr>
          <w:rFonts w:cs="Calibri"/>
          <w:color w:val="000000"/>
        </w:rPr>
        <w:t xml:space="preserve"> and residents are comfortable to raise a complaint. Our procedure is demonstrated to be robust as the investigations undertaken determined </w:t>
      </w:r>
      <w:proofErr w:type="gramStart"/>
      <w:r w:rsidRPr="00927FD9">
        <w:rPr>
          <w:rFonts w:cs="Calibri"/>
          <w:color w:val="000000"/>
        </w:rPr>
        <w:t>the majority of</w:t>
      </w:r>
      <w:proofErr w:type="gramEnd"/>
      <w:r w:rsidRPr="00927FD9">
        <w:rPr>
          <w:rFonts w:cs="Calibri"/>
          <w:color w:val="000000"/>
        </w:rPr>
        <w:t xml:space="preserve"> complaints were not upheld. Any that were progressed were resolved at Stage 1 and did not escalate to Stage 2 with no complaints going to the Ombudsmen. This is positive and shows we are working effectively with our handling of complaints but still taking into consideration the issues raised and identifying alternative ways to help resolve them. </w:t>
      </w:r>
    </w:p>
    <w:p w14:paraId="0FD7A516" w14:textId="77777777" w:rsidR="00927FD9" w:rsidRPr="00927FD9" w:rsidRDefault="00927FD9" w:rsidP="00927FD9">
      <w:pPr>
        <w:rPr>
          <w:rFonts w:cs="Calibri"/>
          <w:color w:val="000000"/>
        </w:rPr>
      </w:pPr>
      <w:r w:rsidRPr="00927FD9">
        <w:rPr>
          <w:rFonts w:cs="Calibri"/>
          <w:color w:val="000000"/>
        </w:rPr>
        <w:t xml:space="preserve">We have still identified areas of </w:t>
      </w:r>
      <w:proofErr w:type="gramStart"/>
      <w:r w:rsidRPr="00927FD9">
        <w:rPr>
          <w:rFonts w:cs="Calibri"/>
          <w:color w:val="000000"/>
        </w:rPr>
        <w:t>improvement</w:t>
      </w:r>
      <w:proofErr w:type="gramEnd"/>
      <w:r w:rsidRPr="00927FD9">
        <w:rPr>
          <w:rFonts w:cs="Calibri"/>
          <w:color w:val="000000"/>
        </w:rPr>
        <w:t xml:space="preserve"> and these will be implemented to ensure we continue to have a system that provides confidence in a fair system for our colleagues, residents and clients.  </w:t>
      </w:r>
    </w:p>
    <w:p w14:paraId="61FB8ACB" w14:textId="4BF2B9E9" w:rsidR="00647C49" w:rsidRDefault="00647C49" w:rsidP="00927FD9"/>
    <w:sectPr w:rsidR="00647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0126"/>
    <w:multiLevelType w:val="hybridMultilevel"/>
    <w:tmpl w:val="0EAA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E009C"/>
    <w:multiLevelType w:val="hybridMultilevel"/>
    <w:tmpl w:val="23560F10"/>
    <w:lvl w:ilvl="0" w:tplc="3ED874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36A06"/>
    <w:multiLevelType w:val="hybridMultilevel"/>
    <w:tmpl w:val="6C4C11CE"/>
    <w:lvl w:ilvl="0" w:tplc="3ED874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555F8"/>
    <w:multiLevelType w:val="hybridMultilevel"/>
    <w:tmpl w:val="C1125D64"/>
    <w:lvl w:ilvl="0" w:tplc="3ED874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125DC"/>
    <w:multiLevelType w:val="hybridMultilevel"/>
    <w:tmpl w:val="4908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70E7F"/>
    <w:multiLevelType w:val="hybridMultilevel"/>
    <w:tmpl w:val="A7A4C8E4"/>
    <w:lvl w:ilvl="0" w:tplc="3ED874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B1992"/>
    <w:multiLevelType w:val="hybridMultilevel"/>
    <w:tmpl w:val="2D6288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89285095">
    <w:abstractNumId w:val="1"/>
  </w:num>
  <w:num w:numId="2" w16cid:durableId="1107390632">
    <w:abstractNumId w:val="3"/>
  </w:num>
  <w:num w:numId="3" w16cid:durableId="802383275">
    <w:abstractNumId w:val="2"/>
  </w:num>
  <w:num w:numId="4" w16cid:durableId="329068675">
    <w:abstractNumId w:val="5"/>
  </w:num>
  <w:num w:numId="5" w16cid:durableId="1230964255">
    <w:abstractNumId w:val="6"/>
  </w:num>
  <w:num w:numId="6" w16cid:durableId="82840616">
    <w:abstractNumId w:val="0"/>
  </w:num>
  <w:num w:numId="7" w16cid:durableId="160291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8D"/>
    <w:rsid w:val="00010658"/>
    <w:rsid w:val="000258BA"/>
    <w:rsid w:val="000548FE"/>
    <w:rsid w:val="00093AE8"/>
    <w:rsid w:val="0009448E"/>
    <w:rsid w:val="00094F07"/>
    <w:rsid w:val="000A3928"/>
    <w:rsid w:val="000C0BC7"/>
    <w:rsid w:val="000C28F2"/>
    <w:rsid w:val="000D0845"/>
    <w:rsid w:val="000D4E5A"/>
    <w:rsid w:val="000F1B0D"/>
    <w:rsid w:val="00104FFD"/>
    <w:rsid w:val="00112A0C"/>
    <w:rsid w:val="0013410B"/>
    <w:rsid w:val="001942EC"/>
    <w:rsid w:val="001A181D"/>
    <w:rsid w:val="001A54B2"/>
    <w:rsid w:val="001B392A"/>
    <w:rsid w:val="001B6127"/>
    <w:rsid w:val="001D2224"/>
    <w:rsid w:val="001E47D1"/>
    <w:rsid w:val="001E7BC1"/>
    <w:rsid w:val="00253F90"/>
    <w:rsid w:val="0027748E"/>
    <w:rsid w:val="002824CE"/>
    <w:rsid w:val="00291054"/>
    <w:rsid w:val="00291601"/>
    <w:rsid w:val="002973E1"/>
    <w:rsid w:val="002A6CFE"/>
    <w:rsid w:val="002B06FF"/>
    <w:rsid w:val="002C3437"/>
    <w:rsid w:val="002E7BEE"/>
    <w:rsid w:val="00304134"/>
    <w:rsid w:val="0031147E"/>
    <w:rsid w:val="00314E75"/>
    <w:rsid w:val="003424DB"/>
    <w:rsid w:val="00346891"/>
    <w:rsid w:val="00361622"/>
    <w:rsid w:val="00370761"/>
    <w:rsid w:val="00372EED"/>
    <w:rsid w:val="0037544F"/>
    <w:rsid w:val="00381841"/>
    <w:rsid w:val="00383BE2"/>
    <w:rsid w:val="00390712"/>
    <w:rsid w:val="00390F3B"/>
    <w:rsid w:val="003B5309"/>
    <w:rsid w:val="003D2D84"/>
    <w:rsid w:val="003F521A"/>
    <w:rsid w:val="004165BD"/>
    <w:rsid w:val="00416B55"/>
    <w:rsid w:val="00417CA7"/>
    <w:rsid w:val="00445E4D"/>
    <w:rsid w:val="00455ECF"/>
    <w:rsid w:val="00460434"/>
    <w:rsid w:val="00474A31"/>
    <w:rsid w:val="0049363D"/>
    <w:rsid w:val="004A32AE"/>
    <w:rsid w:val="004B423D"/>
    <w:rsid w:val="004B669F"/>
    <w:rsid w:val="004C3452"/>
    <w:rsid w:val="004C3EC2"/>
    <w:rsid w:val="004D1EFC"/>
    <w:rsid w:val="004E04A4"/>
    <w:rsid w:val="004E2B6C"/>
    <w:rsid w:val="00504167"/>
    <w:rsid w:val="00506723"/>
    <w:rsid w:val="00520D13"/>
    <w:rsid w:val="00533286"/>
    <w:rsid w:val="00545792"/>
    <w:rsid w:val="00547785"/>
    <w:rsid w:val="005639D5"/>
    <w:rsid w:val="00595760"/>
    <w:rsid w:val="005A677D"/>
    <w:rsid w:val="005B5647"/>
    <w:rsid w:val="005C1AC3"/>
    <w:rsid w:val="005D64EA"/>
    <w:rsid w:val="005E0BE7"/>
    <w:rsid w:val="00600566"/>
    <w:rsid w:val="00600614"/>
    <w:rsid w:val="00606FE8"/>
    <w:rsid w:val="006267E6"/>
    <w:rsid w:val="00641F2A"/>
    <w:rsid w:val="00647C49"/>
    <w:rsid w:val="00653384"/>
    <w:rsid w:val="00653C7D"/>
    <w:rsid w:val="0066047C"/>
    <w:rsid w:val="00661E8F"/>
    <w:rsid w:val="006667DC"/>
    <w:rsid w:val="00667F94"/>
    <w:rsid w:val="006773E4"/>
    <w:rsid w:val="006A0378"/>
    <w:rsid w:val="006B2E68"/>
    <w:rsid w:val="006B45D5"/>
    <w:rsid w:val="006C068C"/>
    <w:rsid w:val="006D6AB9"/>
    <w:rsid w:val="006E2F56"/>
    <w:rsid w:val="006F6A19"/>
    <w:rsid w:val="0073225F"/>
    <w:rsid w:val="00744EB2"/>
    <w:rsid w:val="00760D23"/>
    <w:rsid w:val="00777658"/>
    <w:rsid w:val="0078008D"/>
    <w:rsid w:val="00781AC7"/>
    <w:rsid w:val="007911EB"/>
    <w:rsid w:val="007A0C97"/>
    <w:rsid w:val="007D1AA0"/>
    <w:rsid w:val="007D4769"/>
    <w:rsid w:val="007E75DA"/>
    <w:rsid w:val="00840635"/>
    <w:rsid w:val="008506AF"/>
    <w:rsid w:val="0085454A"/>
    <w:rsid w:val="00855620"/>
    <w:rsid w:val="00856652"/>
    <w:rsid w:val="008864D5"/>
    <w:rsid w:val="00886876"/>
    <w:rsid w:val="00893D9E"/>
    <w:rsid w:val="008A3EA8"/>
    <w:rsid w:val="008D5E8B"/>
    <w:rsid w:val="00922010"/>
    <w:rsid w:val="00926A96"/>
    <w:rsid w:val="00927FD9"/>
    <w:rsid w:val="009641BA"/>
    <w:rsid w:val="009657DF"/>
    <w:rsid w:val="00966E95"/>
    <w:rsid w:val="00974D29"/>
    <w:rsid w:val="009B1F14"/>
    <w:rsid w:val="009C1551"/>
    <w:rsid w:val="009D5312"/>
    <w:rsid w:val="009D57BB"/>
    <w:rsid w:val="009E2D0C"/>
    <w:rsid w:val="009F1644"/>
    <w:rsid w:val="009F73F4"/>
    <w:rsid w:val="00A00222"/>
    <w:rsid w:val="00A33E2E"/>
    <w:rsid w:val="00A42EB0"/>
    <w:rsid w:val="00A43334"/>
    <w:rsid w:val="00A50C92"/>
    <w:rsid w:val="00A517E2"/>
    <w:rsid w:val="00A56E22"/>
    <w:rsid w:val="00AB5FE8"/>
    <w:rsid w:val="00AD457D"/>
    <w:rsid w:val="00AE61D8"/>
    <w:rsid w:val="00AF110B"/>
    <w:rsid w:val="00B004C3"/>
    <w:rsid w:val="00B02C23"/>
    <w:rsid w:val="00B03415"/>
    <w:rsid w:val="00B07FEA"/>
    <w:rsid w:val="00B179BD"/>
    <w:rsid w:val="00B26C71"/>
    <w:rsid w:val="00B4594B"/>
    <w:rsid w:val="00B55F50"/>
    <w:rsid w:val="00B562AF"/>
    <w:rsid w:val="00B64E26"/>
    <w:rsid w:val="00B707FB"/>
    <w:rsid w:val="00B74435"/>
    <w:rsid w:val="00B77A07"/>
    <w:rsid w:val="00B86E3C"/>
    <w:rsid w:val="00B96065"/>
    <w:rsid w:val="00BA2120"/>
    <w:rsid w:val="00BD2B87"/>
    <w:rsid w:val="00BE53F5"/>
    <w:rsid w:val="00BF49CA"/>
    <w:rsid w:val="00C00187"/>
    <w:rsid w:val="00C45981"/>
    <w:rsid w:val="00C6590A"/>
    <w:rsid w:val="00C750D3"/>
    <w:rsid w:val="00C94A9F"/>
    <w:rsid w:val="00C96873"/>
    <w:rsid w:val="00CA0A2B"/>
    <w:rsid w:val="00CB3269"/>
    <w:rsid w:val="00CB6403"/>
    <w:rsid w:val="00CC3B45"/>
    <w:rsid w:val="00CD434A"/>
    <w:rsid w:val="00D00725"/>
    <w:rsid w:val="00D140AD"/>
    <w:rsid w:val="00D24A6C"/>
    <w:rsid w:val="00D253CC"/>
    <w:rsid w:val="00D3165A"/>
    <w:rsid w:val="00D42F93"/>
    <w:rsid w:val="00D5276A"/>
    <w:rsid w:val="00D65CED"/>
    <w:rsid w:val="00D772DD"/>
    <w:rsid w:val="00D847D3"/>
    <w:rsid w:val="00DA62C1"/>
    <w:rsid w:val="00DB42E8"/>
    <w:rsid w:val="00DD694F"/>
    <w:rsid w:val="00DE1211"/>
    <w:rsid w:val="00DE3785"/>
    <w:rsid w:val="00DF3B1D"/>
    <w:rsid w:val="00E20CE6"/>
    <w:rsid w:val="00E3414C"/>
    <w:rsid w:val="00E34F8F"/>
    <w:rsid w:val="00E378E0"/>
    <w:rsid w:val="00E453EB"/>
    <w:rsid w:val="00E46EE0"/>
    <w:rsid w:val="00E91F1B"/>
    <w:rsid w:val="00E96012"/>
    <w:rsid w:val="00EA3FA7"/>
    <w:rsid w:val="00EA7E6F"/>
    <w:rsid w:val="00EB6D1B"/>
    <w:rsid w:val="00ED5A87"/>
    <w:rsid w:val="00F05CD4"/>
    <w:rsid w:val="00F36A27"/>
    <w:rsid w:val="00F41EA1"/>
    <w:rsid w:val="00F5021A"/>
    <w:rsid w:val="00F5160D"/>
    <w:rsid w:val="00F609BF"/>
    <w:rsid w:val="00F64F37"/>
    <w:rsid w:val="00F75379"/>
    <w:rsid w:val="00F82C01"/>
    <w:rsid w:val="00F90DCB"/>
    <w:rsid w:val="00FA5446"/>
    <w:rsid w:val="00FB5FFB"/>
    <w:rsid w:val="00FC3527"/>
    <w:rsid w:val="00FC7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A5D6"/>
  <w15:chartTrackingRefBased/>
  <w15:docId w15:val="{3BD1DBFC-7010-49CA-83EE-A5EDCEEB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08D"/>
    <w:rPr>
      <w:rFonts w:eastAsiaTheme="majorEastAsia" w:cstheme="majorBidi"/>
      <w:color w:val="272727" w:themeColor="text1" w:themeTint="D8"/>
    </w:rPr>
  </w:style>
  <w:style w:type="paragraph" w:styleId="Title">
    <w:name w:val="Title"/>
    <w:basedOn w:val="Normal"/>
    <w:next w:val="Normal"/>
    <w:link w:val="TitleChar"/>
    <w:uiPriority w:val="10"/>
    <w:qFormat/>
    <w:rsid w:val="00780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08D"/>
    <w:pPr>
      <w:spacing w:before="160"/>
      <w:jc w:val="center"/>
    </w:pPr>
    <w:rPr>
      <w:i/>
      <w:iCs/>
      <w:color w:val="404040" w:themeColor="text1" w:themeTint="BF"/>
    </w:rPr>
  </w:style>
  <w:style w:type="character" w:customStyle="1" w:styleId="QuoteChar">
    <w:name w:val="Quote Char"/>
    <w:basedOn w:val="DefaultParagraphFont"/>
    <w:link w:val="Quote"/>
    <w:uiPriority w:val="29"/>
    <w:rsid w:val="0078008D"/>
    <w:rPr>
      <w:i/>
      <w:iCs/>
      <w:color w:val="404040" w:themeColor="text1" w:themeTint="BF"/>
    </w:rPr>
  </w:style>
  <w:style w:type="paragraph" w:styleId="ListParagraph">
    <w:name w:val="List Paragraph"/>
    <w:basedOn w:val="Normal"/>
    <w:uiPriority w:val="34"/>
    <w:qFormat/>
    <w:rsid w:val="0078008D"/>
    <w:pPr>
      <w:ind w:left="720"/>
      <w:contextualSpacing/>
    </w:pPr>
  </w:style>
  <w:style w:type="character" w:styleId="IntenseEmphasis">
    <w:name w:val="Intense Emphasis"/>
    <w:basedOn w:val="DefaultParagraphFont"/>
    <w:uiPriority w:val="21"/>
    <w:qFormat/>
    <w:rsid w:val="0078008D"/>
    <w:rPr>
      <w:i/>
      <w:iCs/>
      <w:color w:val="0F4761" w:themeColor="accent1" w:themeShade="BF"/>
    </w:rPr>
  </w:style>
  <w:style w:type="paragraph" w:styleId="IntenseQuote">
    <w:name w:val="Intense Quote"/>
    <w:basedOn w:val="Normal"/>
    <w:next w:val="Normal"/>
    <w:link w:val="IntenseQuoteChar"/>
    <w:uiPriority w:val="30"/>
    <w:qFormat/>
    <w:rsid w:val="00780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8D"/>
    <w:rPr>
      <w:i/>
      <w:iCs/>
      <w:color w:val="0F4761" w:themeColor="accent1" w:themeShade="BF"/>
    </w:rPr>
  </w:style>
  <w:style w:type="character" w:styleId="IntenseReference">
    <w:name w:val="Intense Reference"/>
    <w:basedOn w:val="DefaultParagraphFont"/>
    <w:uiPriority w:val="32"/>
    <w:qFormat/>
    <w:rsid w:val="0078008D"/>
    <w:rPr>
      <w:b/>
      <w:bCs/>
      <w:smallCaps/>
      <w:color w:val="0F4761" w:themeColor="accent1" w:themeShade="BF"/>
      <w:spacing w:val="5"/>
    </w:rPr>
  </w:style>
  <w:style w:type="table" w:styleId="TableGrid">
    <w:name w:val="Table Grid"/>
    <w:basedOn w:val="TableNormal"/>
    <w:uiPriority w:val="39"/>
    <w:rsid w:val="008D5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58">
      <w:bodyDiv w:val="1"/>
      <w:marLeft w:val="0"/>
      <w:marRight w:val="0"/>
      <w:marTop w:val="0"/>
      <w:marBottom w:val="0"/>
      <w:divBdr>
        <w:top w:val="none" w:sz="0" w:space="0" w:color="auto"/>
        <w:left w:val="none" w:sz="0" w:space="0" w:color="auto"/>
        <w:bottom w:val="none" w:sz="0" w:space="0" w:color="auto"/>
        <w:right w:val="none" w:sz="0" w:space="0" w:color="auto"/>
      </w:divBdr>
    </w:div>
    <w:div w:id="49308356">
      <w:bodyDiv w:val="1"/>
      <w:marLeft w:val="0"/>
      <w:marRight w:val="0"/>
      <w:marTop w:val="0"/>
      <w:marBottom w:val="0"/>
      <w:divBdr>
        <w:top w:val="none" w:sz="0" w:space="0" w:color="auto"/>
        <w:left w:val="none" w:sz="0" w:space="0" w:color="auto"/>
        <w:bottom w:val="none" w:sz="0" w:space="0" w:color="auto"/>
        <w:right w:val="none" w:sz="0" w:space="0" w:color="auto"/>
      </w:divBdr>
    </w:div>
    <w:div w:id="7269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99759405074366E-2"/>
          <c:y val="2.353264646546431E-2"/>
          <c:w val="0.89655796150481193"/>
          <c:h val="0.75546964084502288"/>
        </c:manualLayout>
      </c:layout>
      <c:barChart>
        <c:barDir val="col"/>
        <c:grouping val="clustered"/>
        <c:varyColors val="0"/>
        <c:ser>
          <c:idx val="0"/>
          <c:order val="0"/>
          <c:tx>
            <c:v>Staff</c:v>
          </c:tx>
          <c:spPr>
            <a:solidFill>
              <a:schemeClr val="accent6"/>
            </a:solidFill>
            <a:ln>
              <a:noFill/>
            </a:ln>
            <a:effectLst/>
          </c:spPr>
          <c:invertIfNegative val="0"/>
          <c:cat>
            <c:strLit>
              <c:ptCount val="1"/>
              <c:pt idx="0">
                <c:v>Reason for complaints</c:v>
              </c:pt>
            </c:strLit>
          </c:cat>
          <c:val>
            <c:numLit>
              <c:formatCode>General</c:formatCode>
              <c:ptCount val="1"/>
              <c:pt idx="0">
                <c:v>20</c:v>
              </c:pt>
            </c:numLit>
          </c:val>
          <c:extLst>
            <c:ext xmlns:c16="http://schemas.microsoft.com/office/drawing/2014/chart" uri="{C3380CC4-5D6E-409C-BE32-E72D297353CC}">
              <c16:uniqueId val="{00000000-A392-4D6B-B40A-6088252B59D4}"/>
            </c:ext>
          </c:extLst>
        </c:ser>
        <c:ser>
          <c:idx val="1"/>
          <c:order val="1"/>
          <c:tx>
            <c:v>Service Users - noise</c:v>
          </c:tx>
          <c:spPr>
            <a:solidFill>
              <a:schemeClr val="accent5"/>
            </a:solidFill>
            <a:ln>
              <a:noFill/>
            </a:ln>
            <a:effectLst/>
          </c:spPr>
          <c:invertIfNegative val="0"/>
          <c:cat>
            <c:strLit>
              <c:ptCount val="1"/>
              <c:pt idx="0">
                <c:v>Reason for complaints</c:v>
              </c:pt>
            </c:strLit>
          </c:cat>
          <c:val>
            <c:numLit>
              <c:formatCode>General</c:formatCode>
              <c:ptCount val="1"/>
              <c:pt idx="0">
                <c:v>8</c:v>
              </c:pt>
            </c:numLit>
          </c:val>
          <c:extLst>
            <c:ext xmlns:c16="http://schemas.microsoft.com/office/drawing/2014/chart" uri="{C3380CC4-5D6E-409C-BE32-E72D297353CC}">
              <c16:uniqueId val="{00000001-A392-4D6B-B40A-6088252B59D4}"/>
            </c:ext>
          </c:extLst>
        </c:ser>
        <c:ser>
          <c:idx val="3"/>
          <c:order val="2"/>
          <c:tx>
            <c:v>Service Request</c:v>
          </c:tx>
          <c:spPr>
            <a:solidFill>
              <a:schemeClr val="accent6">
                <a:lumMod val="60000"/>
              </a:schemeClr>
            </a:solidFill>
            <a:ln>
              <a:noFill/>
            </a:ln>
            <a:effectLst/>
          </c:spPr>
          <c:invertIfNegative val="0"/>
          <c:cat>
            <c:strLit>
              <c:ptCount val="1"/>
              <c:pt idx="0">
                <c:v>Reason for complaints</c:v>
              </c:pt>
            </c:strLit>
          </c:cat>
          <c:val>
            <c:numLit>
              <c:formatCode>General</c:formatCode>
              <c:ptCount val="1"/>
              <c:pt idx="0">
                <c:v>3</c:v>
              </c:pt>
            </c:numLit>
          </c:val>
          <c:extLst>
            <c:ext xmlns:c16="http://schemas.microsoft.com/office/drawing/2014/chart" uri="{C3380CC4-5D6E-409C-BE32-E72D297353CC}">
              <c16:uniqueId val="{00000002-A392-4D6B-B40A-6088252B59D4}"/>
            </c:ext>
          </c:extLst>
        </c:ser>
        <c:ser>
          <c:idx val="4"/>
          <c:order val="3"/>
          <c:tx>
            <c:v>RFC</c:v>
          </c:tx>
          <c:spPr>
            <a:solidFill>
              <a:schemeClr val="accent5">
                <a:lumMod val="60000"/>
              </a:schemeClr>
            </a:solidFill>
            <a:ln>
              <a:noFill/>
            </a:ln>
            <a:effectLst/>
          </c:spPr>
          <c:invertIfNegative val="0"/>
          <c:val>
            <c:numLit>
              <c:formatCode>General</c:formatCode>
              <c:ptCount val="1"/>
              <c:pt idx="0">
                <c:v>1</c:v>
              </c:pt>
            </c:numLit>
          </c:val>
          <c:extLst>
            <c:ext xmlns:c16="http://schemas.microsoft.com/office/drawing/2014/chart" uri="{C3380CC4-5D6E-409C-BE32-E72D297353CC}">
              <c16:uniqueId val="{00000003-A392-4D6B-B40A-6088252B59D4}"/>
            </c:ext>
          </c:extLst>
        </c:ser>
        <c:ser>
          <c:idx val="5"/>
          <c:order val="4"/>
          <c:tx>
            <c:v>Maintenance</c:v>
          </c:tx>
          <c:spPr>
            <a:solidFill>
              <a:schemeClr val="accent4">
                <a:lumMod val="60000"/>
              </a:schemeClr>
            </a:solidFill>
            <a:ln>
              <a:noFill/>
            </a:ln>
            <a:effectLst/>
          </c:spPr>
          <c:invertIfNegative val="0"/>
          <c:val>
            <c:numLit>
              <c:formatCode>General</c:formatCode>
              <c:ptCount val="1"/>
              <c:pt idx="0">
                <c:v>5</c:v>
              </c:pt>
            </c:numLit>
          </c:val>
          <c:extLst>
            <c:ext xmlns:c16="http://schemas.microsoft.com/office/drawing/2014/chart" uri="{C3380CC4-5D6E-409C-BE32-E72D297353CC}">
              <c16:uniqueId val="{00000004-A392-4D6B-B40A-6088252B59D4}"/>
            </c:ext>
          </c:extLst>
        </c:ser>
        <c:ser>
          <c:idx val="2"/>
          <c:order val="5"/>
          <c:tx>
            <c:v>Food/Catering</c:v>
          </c:tx>
          <c:spPr>
            <a:solidFill>
              <a:schemeClr val="accent4"/>
            </a:solidFill>
            <a:ln>
              <a:noFill/>
            </a:ln>
            <a:effectLst/>
          </c:spPr>
          <c:invertIfNegative val="0"/>
          <c:val>
            <c:numLit>
              <c:formatCode>General</c:formatCode>
              <c:ptCount val="1"/>
              <c:pt idx="0">
                <c:v>1</c:v>
              </c:pt>
            </c:numLit>
          </c:val>
          <c:extLst>
            <c:ext xmlns:c16="http://schemas.microsoft.com/office/drawing/2014/chart" uri="{C3380CC4-5D6E-409C-BE32-E72D297353CC}">
              <c16:uniqueId val="{00000005-A392-4D6B-B40A-6088252B59D4}"/>
            </c:ext>
          </c:extLst>
        </c:ser>
        <c:dLbls>
          <c:showLegendKey val="0"/>
          <c:showVal val="0"/>
          <c:showCatName val="0"/>
          <c:showSerName val="0"/>
          <c:showPercent val="0"/>
          <c:showBubbleSize val="0"/>
        </c:dLbls>
        <c:gapWidth val="219"/>
        <c:overlap val="-27"/>
        <c:axId val="1715143071"/>
        <c:axId val="1810207167"/>
      </c:barChart>
      <c:catAx>
        <c:axId val="1715143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207167"/>
        <c:crosses val="autoZero"/>
        <c:auto val="1"/>
        <c:lblAlgn val="ctr"/>
        <c:lblOffset val="100"/>
        <c:noMultiLvlLbl val="0"/>
      </c:catAx>
      <c:valAx>
        <c:axId val="181020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143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Rusko</dc:creator>
  <cp:keywords/>
  <dc:description/>
  <cp:lastModifiedBy>Tamara Maguire</cp:lastModifiedBy>
  <cp:revision>75</cp:revision>
  <dcterms:created xsi:type="dcterms:W3CDTF">2025-05-23T10:49:00Z</dcterms:created>
  <dcterms:modified xsi:type="dcterms:W3CDTF">2025-06-13T08:01:00Z</dcterms:modified>
</cp:coreProperties>
</file>